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7E" w:rsidRPr="003A68FB" w:rsidRDefault="00D8067E" w:rsidP="00D8067E">
      <w:p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EHDOTUS HALLITUKSELLE ANNETTAVASTA OSAKEANTIVALTUUTUKSESTA SEKÄ VALTUUTUKSESTA OSAKKEISIIN OIKEUTTAVIEN ERITYISTEN OIKEUKSIEN ANTAMISEKSI</w:t>
      </w:r>
    </w:p>
    <w:p w:rsidR="00FA54AE" w:rsidRPr="003A68FB" w:rsidRDefault="00FA54AE" w:rsidP="00FA54AE">
      <w:pPr>
        <w:tabs>
          <w:tab w:val="clear" w:pos="1304"/>
        </w:tabs>
        <w:autoSpaceDE w:val="0"/>
        <w:autoSpaceDN w:val="0"/>
        <w:adjustRightInd w:val="0"/>
        <w:jc w:val="both"/>
        <w:rPr>
          <w:rFonts w:ascii="Arial" w:hAnsi="Arial" w:cs="Arial"/>
          <w:b/>
          <w:bCs/>
          <w:szCs w:val="22"/>
        </w:rPr>
      </w:pPr>
    </w:p>
    <w:p w:rsidR="00D8067E" w:rsidRPr="003A68FB" w:rsidRDefault="009E6FC9" w:rsidP="00D8067E">
      <w:pPr>
        <w:tabs>
          <w:tab w:val="clear" w:pos="1304"/>
        </w:tabs>
        <w:autoSpaceDE w:val="0"/>
        <w:autoSpaceDN w:val="0"/>
        <w:adjustRightInd w:val="0"/>
        <w:jc w:val="both"/>
        <w:rPr>
          <w:rFonts w:ascii="Arial" w:hAnsi="Arial" w:cs="Arial"/>
          <w:szCs w:val="22"/>
        </w:rPr>
      </w:pPr>
      <w:r w:rsidRPr="003A68FB">
        <w:rPr>
          <w:rFonts w:ascii="Arial" w:hAnsi="Arial" w:cs="Arial"/>
          <w:szCs w:val="22"/>
        </w:rPr>
        <w:t xml:space="preserve">Teleste Oyj:n hallitus ehdottaa huhtikuun </w:t>
      </w:r>
      <w:r w:rsidR="00196B7A">
        <w:rPr>
          <w:rFonts w:ascii="Arial" w:hAnsi="Arial" w:cs="Arial"/>
          <w:szCs w:val="22"/>
        </w:rPr>
        <w:t>5</w:t>
      </w:r>
      <w:r w:rsidRPr="003A68FB">
        <w:rPr>
          <w:rFonts w:ascii="Arial" w:hAnsi="Arial" w:cs="Arial"/>
          <w:szCs w:val="22"/>
        </w:rPr>
        <w:t>. päivänä 201</w:t>
      </w:r>
      <w:r w:rsidR="00196B7A">
        <w:rPr>
          <w:rFonts w:ascii="Arial" w:hAnsi="Arial" w:cs="Arial"/>
          <w:szCs w:val="22"/>
        </w:rPr>
        <w:t>8</w:t>
      </w:r>
      <w:r w:rsidRPr="003A68FB">
        <w:rPr>
          <w:rFonts w:ascii="Arial" w:hAnsi="Arial" w:cs="Arial"/>
          <w:szCs w:val="22"/>
        </w:rPr>
        <w:t xml:space="preserve"> pidettävälle varsinaiselle</w:t>
      </w:r>
      <w:r w:rsidR="00FA54AE" w:rsidRPr="003A68FB">
        <w:rPr>
          <w:rFonts w:ascii="Arial" w:hAnsi="Arial" w:cs="Arial"/>
          <w:szCs w:val="22"/>
        </w:rPr>
        <w:t xml:space="preserve"> </w:t>
      </w:r>
      <w:r w:rsidRPr="003A68FB">
        <w:rPr>
          <w:rFonts w:ascii="Arial" w:hAnsi="Arial" w:cs="Arial"/>
          <w:szCs w:val="22"/>
        </w:rPr>
        <w:t xml:space="preserve">yhtiökokoukselle, että </w:t>
      </w:r>
      <w:r w:rsidR="00D8067E" w:rsidRPr="003A68FB">
        <w:rPr>
          <w:rFonts w:ascii="Arial" w:hAnsi="Arial" w:cs="Arial"/>
          <w:szCs w:val="22"/>
        </w:rPr>
        <w:t>hallitus valtuutettaisiin päättämään</w:t>
      </w:r>
    </w:p>
    <w:p w:rsidR="00D8067E" w:rsidRPr="003A68FB" w:rsidRDefault="00D8067E" w:rsidP="00D8067E">
      <w:pPr>
        <w:jc w:val="both"/>
        <w:rPr>
          <w:rFonts w:ascii="Arial" w:hAnsi="Arial" w:cs="Arial"/>
          <w:szCs w:val="22"/>
        </w:rPr>
      </w:pPr>
    </w:p>
    <w:p w:rsidR="00D8067E" w:rsidRPr="003A68FB" w:rsidRDefault="00D8067E" w:rsidP="00D8067E">
      <w:pPr>
        <w:jc w:val="both"/>
        <w:rPr>
          <w:rFonts w:ascii="Arial" w:hAnsi="Arial" w:cs="Arial"/>
          <w:szCs w:val="22"/>
        </w:rPr>
      </w:pPr>
      <w:r w:rsidRPr="003A68FB">
        <w:rPr>
          <w:rFonts w:ascii="Arial" w:hAnsi="Arial" w:cs="Arial"/>
          <w:szCs w:val="22"/>
        </w:rPr>
        <w:t>(i) uusien osakkeiden antamisesta ja/tai</w:t>
      </w:r>
    </w:p>
    <w:p w:rsidR="00D8067E" w:rsidRPr="003A68FB" w:rsidRDefault="00D8067E" w:rsidP="00D8067E">
      <w:pPr>
        <w:jc w:val="both"/>
        <w:rPr>
          <w:rFonts w:ascii="Arial" w:hAnsi="Arial" w:cs="Arial"/>
          <w:szCs w:val="22"/>
        </w:rPr>
      </w:pPr>
      <w:r w:rsidRPr="003A68FB">
        <w:rPr>
          <w:rFonts w:ascii="Arial" w:hAnsi="Arial" w:cs="Arial"/>
          <w:szCs w:val="22"/>
        </w:rPr>
        <w:t>(ii) yhtiön hallussa olevien omien osakkeiden luovuttamisesta ja/tai</w:t>
      </w:r>
    </w:p>
    <w:p w:rsidR="00D8067E" w:rsidRPr="003A68FB" w:rsidRDefault="00D8067E" w:rsidP="00D8067E">
      <w:pPr>
        <w:jc w:val="both"/>
        <w:rPr>
          <w:rFonts w:ascii="Arial" w:hAnsi="Arial" w:cs="Arial"/>
          <w:szCs w:val="22"/>
        </w:rPr>
      </w:pPr>
      <w:r w:rsidRPr="003A68FB">
        <w:rPr>
          <w:rFonts w:ascii="Arial" w:hAnsi="Arial" w:cs="Arial"/>
          <w:szCs w:val="22"/>
        </w:rPr>
        <w:t>(iii) osakeyhtiölain 10 luvun 1 §:ssä tarkoitettujen erityisten oikeuksien antamisesta seuraavin ehdoin:</w:t>
      </w:r>
    </w:p>
    <w:p w:rsidR="00D8067E" w:rsidRPr="003A68FB" w:rsidRDefault="00D8067E"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Oikeus osakkeisiin</w:t>
      </w:r>
    </w:p>
    <w:p w:rsidR="00D8067E" w:rsidRPr="003A68FB" w:rsidRDefault="00D8067E" w:rsidP="00D8067E">
      <w:pPr>
        <w:jc w:val="both"/>
        <w:rPr>
          <w:rFonts w:ascii="Arial" w:hAnsi="Arial" w:cs="Arial"/>
          <w:szCs w:val="22"/>
        </w:rPr>
      </w:pPr>
      <w:r w:rsidRPr="003A68FB">
        <w:rPr>
          <w:rFonts w:ascii="Arial" w:hAnsi="Arial" w:cs="Arial"/>
          <w:szCs w:val="22"/>
        </w:rPr>
        <w:t xml:space="preserve">  </w:t>
      </w: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Uudet osakkeet voidaan antaa ja yhtiöllä olevat omat osakkeet luovuttaa</w:t>
      </w:r>
    </w:p>
    <w:p w:rsidR="00D8067E" w:rsidRPr="003A68FB" w:rsidRDefault="00D8067E" w:rsidP="00D8067E">
      <w:pPr>
        <w:jc w:val="both"/>
        <w:rPr>
          <w:rFonts w:ascii="Arial" w:hAnsi="Arial" w:cs="Arial"/>
          <w:szCs w:val="22"/>
        </w:rPr>
      </w:pPr>
    </w:p>
    <w:p w:rsidR="00D8067E" w:rsidRPr="003A68FB" w:rsidRDefault="00D8067E" w:rsidP="00D8067E">
      <w:pPr>
        <w:pStyle w:val="ListParagraph"/>
        <w:numPr>
          <w:ilvl w:val="0"/>
          <w:numId w:val="12"/>
        </w:numPr>
        <w:tabs>
          <w:tab w:val="clear" w:pos="1304"/>
        </w:tabs>
        <w:autoSpaceDE w:val="0"/>
        <w:autoSpaceDN w:val="0"/>
        <w:adjustRightInd w:val="0"/>
        <w:jc w:val="both"/>
        <w:rPr>
          <w:rFonts w:ascii="Arial" w:hAnsi="Arial" w:cs="Arial"/>
          <w:szCs w:val="22"/>
        </w:rPr>
      </w:pPr>
      <w:r w:rsidRPr="003A68FB">
        <w:rPr>
          <w:rFonts w:ascii="Arial" w:hAnsi="Arial" w:cs="Arial"/>
          <w:szCs w:val="22"/>
        </w:rPr>
        <w:t>yhtiön osakkeenomistajille siinä suhteessa kuin he ennestään omistavat yhtiön osakkeita; tai</w:t>
      </w:r>
    </w:p>
    <w:p w:rsidR="00D8067E" w:rsidRPr="003A68FB" w:rsidRDefault="00D8067E" w:rsidP="00D8067E">
      <w:pPr>
        <w:tabs>
          <w:tab w:val="clear" w:pos="1304"/>
        </w:tabs>
        <w:autoSpaceDE w:val="0"/>
        <w:autoSpaceDN w:val="0"/>
        <w:adjustRightInd w:val="0"/>
        <w:ind w:left="1304"/>
        <w:jc w:val="both"/>
        <w:rPr>
          <w:rFonts w:ascii="Arial" w:hAnsi="Arial" w:cs="Arial"/>
          <w:szCs w:val="22"/>
        </w:rPr>
      </w:pPr>
    </w:p>
    <w:p w:rsidR="00D8067E" w:rsidRPr="003A68FB" w:rsidRDefault="00D8067E" w:rsidP="00D8067E">
      <w:pPr>
        <w:pStyle w:val="ListParagraph"/>
        <w:numPr>
          <w:ilvl w:val="0"/>
          <w:numId w:val="12"/>
        </w:numPr>
        <w:tabs>
          <w:tab w:val="clear" w:pos="1304"/>
        </w:tabs>
        <w:autoSpaceDE w:val="0"/>
        <w:autoSpaceDN w:val="0"/>
        <w:adjustRightInd w:val="0"/>
        <w:jc w:val="both"/>
        <w:rPr>
          <w:rFonts w:ascii="Arial" w:hAnsi="Arial" w:cs="Arial"/>
          <w:szCs w:val="22"/>
        </w:rPr>
      </w:pPr>
      <w:r w:rsidRPr="003A68FB">
        <w:rPr>
          <w:rFonts w:ascii="Arial" w:hAnsi="Arial" w:cs="Arial"/>
          <w:szCs w:val="22"/>
        </w:rPr>
        <w:t>osakkeenomistajan etuoikeudesta poiketen suunnatulla osakeannilla, jos siihen on yhtiön kannalta painava taloudellinen syy, kuten osakkeiden käyttäminen vastikkeena mahdollisissa yrityshankinnoissa tai muissa yhtiön liiketoimintaan kuuluvissa järjestelyissä, investointien rahoittaminen tai osakkeiden käyttäminen osana yhtiön kannustinjärjestelmää.</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Uudet osakkeet voidaan antaa myös maksuttomana osakeantina yhtiölle itselleen.</w:t>
      </w:r>
    </w:p>
    <w:p w:rsidR="00D8067E" w:rsidRPr="003A68FB" w:rsidRDefault="00D8067E" w:rsidP="00D8067E">
      <w:pPr>
        <w:jc w:val="both"/>
        <w:rPr>
          <w:rFonts w:ascii="Arial" w:hAnsi="Arial" w:cs="Arial"/>
          <w:szCs w:val="22"/>
        </w:rPr>
      </w:pPr>
    </w:p>
    <w:p w:rsidR="00CB787D" w:rsidRPr="003A68FB" w:rsidRDefault="00CB787D"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Maksullinen ja maksuton osakeanti</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 xml:space="preserve">Uudet osakkeet voidaan antaa ja yhtiön hallussa olevat omat osakkeet voidaan luovuttaa joko maksua vastaan (Maksullinen osakeanti) tai maksutta (Maksuton osakeanti). Suunnattu osakeanti voi olla maksuton vain, jos siihen on yhtiön kannalta ja sen kaikkien osakkeenomistajien etu huomioon ottaen erityisen painava taloudellinen syy. </w:t>
      </w:r>
    </w:p>
    <w:p w:rsidR="00D8067E" w:rsidRPr="003A68FB" w:rsidRDefault="00D8067E" w:rsidP="00D8067E">
      <w:pPr>
        <w:jc w:val="both"/>
        <w:rPr>
          <w:rFonts w:ascii="Arial" w:hAnsi="Arial" w:cs="Arial"/>
          <w:szCs w:val="22"/>
        </w:rPr>
      </w:pPr>
    </w:p>
    <w:p w:rsidR="00CB787D" w:rsidRPr="003A68FB" w:rsidRDefault="00CB787D"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Osakkeiden enimmäismäärä</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Hallitus on valtuutuksen nojalla oikeutettu päättämään uusien osakkeiden antamisesta ja/tai yhtiön hallussa olevien omien osakkeiden luovuttamisesta siten, että annettavien ja/tai luovutettavien osakkeiden määrä on yhteensä enintään 2.000.000 kappaletta.</w:t>
      </w:r>
    </w:p>
    <w:p w:rsidR="00D8067E" w:rsidRPr="003A68FB" w:rsidRDefault="00D8067E" w:rsidP="00D8067E">
      <w:pPr>
        <w:jc w:val="both"/>
        <w:rPr>
          <w:rFonts w:ascii="Arial" w:hAnsi="Arial" w:cs="Arial"/>
          <w:szCs w:val="22"/>
        </w:rPr>
      </w:pPr>
    </w:p>
    <w:p w:rsidR="00CB787D" w:rsidRPr="003A68FB" w:rsidRDefault="00CB787D"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Erityisten oikeuksien antaminen</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 xml:space="preserve">Hallitus voi antaa osakeyhtiölain 10 luvun 1 §:ssä tarkoitettuja erityisiä oikeuksia, jotka oikeuttavat maksua vastaan saamaan uusia osakkeita tai yhtiön hallussa olevia omia osakkeita. Oikeus voidaan antaa myös yhtiön velkojalle siten, että </w:t>
      </w:r>
      <w:r w:rsidRPr="003A68FB">
        <w:rPr>
          <w:rFonts w:ascii="Arial" w:hAnsi="Arial" w:cs="Arial"/>
          <w:szCs w:val="22"/>
        </w:rPr>
        <w:lastRenderedPageBreak/>
        <w:t xml:space="preserve">oikeuteen liittyy ehto velkojan saatavan käyttämisestä osakkeen merkintähinnan kuittaamiseen (vaihtovelkakirjalaina). </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 xml:space="preserve">Yhtiön antamien erityisten oikeuksien nojalla merkittävien uusien osakkeiden ja yhtiön hallussa olevien luovutettavien omien osakkeiden lukumäärä voi olla enintään yhteensä 1.000.000 kappaletta, joka määrä sisältyy edellä kohdassa ”Osakkeiden enimmäismäärä” mainittuun enimmäismäärään. </w:t>
      </w:r>
    </w:p>
    <w:p w:rsidR="00D8067E" w:rsidRPr="003A68FB" w:rsidRDefault="00D8067E" w:rsidP="00D8067E">
      <w:pPr>
        <w:jc w:val="both"/>
        <w:rPr>
          <w:rFonts w:ascii="Arial" w:hAnsi="Arial" w:cs="Arial"/>
          <w:szCs w:val="22"/>
        </w:rPr>
      </w:pPr>
    </w:p>
    <w:p w:rsidR="00CB787D" w:rsidRPr="003A68FB" w:rsidRDefault="00CB787D"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Merkintähinnan merkitseminen taseeseen</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 xml:space="preserve">Uusien osakkeiden merkintähinta ja yhtiön omista osakkeista maksettava määrä on merkittävä sijoitetun vapaan oman pääoman rahastoon. </w:t>
      </w:r>
    </w:p>
    <w:p w:rsidR="00D8067E" w:rsidRPr="003A68FB" w:rsidRDefault="00D8067E" w:rsidP="00D8067E">
      <w:pPr>
        <w:jc w:val="both"/>
        <w:rPr>
          <w:rFonts w:ascii="Arial" w:hAnsi="Arial" w:cs="Arial"/>
          <w:szCs w:val="22"/>
        </w:rPr>
      </w:pPr>
    </w:p>
    <w:p w:rsidR="00CB787D" w:rsidRPr="003A68FB" w:rsidRDefault="00CB787D" w:rsidP="00D8067E">
      <w:pPr>
        <w:jc w:val="both"/>
        <w:rPr>
          <w:rFonts w:ascii="Arial" w:hAnsi="Arial" w:cs="Arial"/>
          <w:szCs w:val="22"/>
        </w:rPr>
      </w:pPr>
    </w:p>
    <w:p w:rsidR="00D8067E" w:rsidRPr="003A68FB" w:rsidRDefault="00D8067E" w:rsidP="00D8067E">
      <w:pPr>
        <w:pStyle w:val="ListParagraph"/>
        <w:numPr>
          <w:ilvl w:val="0"/>
          <w:numId w:val="11"/>
        </w:numPr>
        <w:tabs>
          <w:tab w:val="clear" w:pos="1304"/>
        </w:tabs>
        <w:autoSpaceDE w:val="0"/>
        <w:autoSpaceDN w:val="0"/>
        <w:adjustRightInd w:val="0"/>
        <w:jc w:val="both"/>
        <w:rPr>
          <w:rFonts w:ascii="Arial" w:hAnsi="Arial" w:cs="Arial"/>
          <w:b/>
          <w:bCs/>
          <w:szCs w:val="22"/>
        </w:rPr>
      </w:pPr>
      <w:r w:rsidRPr="003A68FB">
        <w:rPr>
          <w:rFonts w:ascii="Arial" w:hAnsi="Arial" w:cs="Arial"/>
          <w:b/>
          <w:bCs/>
          <w:szCs w:val="22"/>
        </w:rPr>
        <w:t>Muut ehdot ja voimassaolo</w:t>
      </w:r>
    </w:p>
    <w:p w:rsidR="00D8067E" w:rsidRPr="003A68FB" w:rsidRDefault="00D8067E" w:rsidP="00D8067E">
      <w:pPr>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Hallitus päättää kaikista muista valtuutuksiin liittyvistä seikoista.</w:t>
      </w:r>
    </w:p>
    <w:p w:rsidR="00D8067E" w:rsidRPr="003A68FB" w:rsidRDefault="00D8067E" w:rsidP="00D8067E">
      <w:pPr>
        <w:tabs>
          <w:tab w:val="clear" w:pos="1304"/>
        </w:tabs>
        <w:autoSpaceDE w:val="0"/>
        <w:autoSpaceDN w:val="0"/>
        <w:adjustRightInd w:val="0"/>
        <w:ind w:left="1304"/>
        <w:jc w:val="both"/>
        <w:rPr>
          <w:rFonts w:ascii="Arial" w:hAnsi="Arial" w:cs="Arial"/>
          <w:szCs w:val="22"/>
        </w:rPr>
      </w:pPr>
    </w:p>
    <w:p w:rsidR="00D8067E" w:rsidRPr="003A68FB" w:rsidRDefault="00D8067E" w:rsidP="00D8067E">
      <w:pPr>
        <w:tabs>
          <w:tab w:val="clear" w:pos="1304"/>
        </w:tabs>
        <w:autoSpaceDE w:val="0"/>
        <w:autoSpaceDN w:val="0"/>
        <w:adjustRightInd w:val="0"/>
        <w:ind w:left="1304"/>
        <w:jc w:val="both"/>
        <w:rPr>
          <w:rFonts w:ascii="Arial" w:hAnsi="Arial" w:cs="Arial"/>
          <w:szCs w:val="22"/>
        </w:rPr>
      </w:pPr>
      <w:r w:rsidRPr="003A68FB">
        <w:rPr>
          <w:rFonts w:ascii="Arial" w:hAnsi="Arial" w:cs="Arial"/>
          <w:szCs w:val="22"/>
        </w:rPr>
        <w:t>Valtuutukset ovat voimassa kahdeksantoista (18) kuukautta varsinaisen yhtiökokouksen päätöksestä lukien.</w:t>
      </w:r>
      <w:r w:rsidR="00863DDD">
        <w:rPr>
          <w:rFonts w:ascii="Arial" w:hAnsi="Arial" w:cs="Arial"/>
          <w:szCs w:val="22"/>
        </w:rPr>
        <w:t xml:space="preserve"> </w:t>
      </w:r>
      <w:r w:rsidR="00BE0F3C">
        <w:t>Valt</w:t>
      </w:r>
      <w:bookmarkStart w:id="0" w:name="_GoBack"/>
      <w:bookmarkEnd w:id="0"/>
      <w:r w:rsidR="00BE0F3C">
        <w:t>uutukset kumoavat aiemmin myönnetyt valtuutukset päättää osakeannista sekä optio-oikeuksien ja muiden osakkeisiin oikeuttavien erityisten oikeuksien antamisesta</w:t>
      </w:r>
      <w:r w:rsidR="00BE0F3C">
        <w:rPr>
          <w:rFonts w:ascii="Arial" w:hAnsi="Arial" w:cs="Arial"/>
          <w:szCs w:val="22"/>
        </w:rPr>
        <w:t>.</w:t>
      </w:r>
    </w:p>
    <w:p w:rsidR="00D8067E" w:rsidRPr="003A68FB" w:rsidRDefault="00D8067E" w:rsidP="00FA54AE">
      <w:pPr>
        <w:tabs>
          <w:tab w:val="clear" w:pos="1304"/>
        </w:tabs>
        <w:autoSpaceDE w:val="0"/>
        <w:autoSpaceDN w:val="0"/>
        <w:adjustRightInd w:val="0"/>
        <w:jc w:val="both"/>
        <w:rPr>
          <w:rFonts w:ascii="Arial" w:hAnsi="Arial" w:cs="Arial"/>
          <w:szCs w:val="22"/>
        </w:rPr>
      </w:pPr>
    </w:p>
    <w:p w:rsidR="009E6FC9" w:rsidRPr="003A68FB" w:rsidRDefault="009E6FC9" w:rsidP="007E0335">
      <w:pPr>
        <w:tabs>
          <w:tab w:val="clear" w:pos="1304"/>
        </w:tabs>
        <w:autoSpaceDE w:val="0"/>
        <w:autoSpaceDN w:val="0"/>
        <w:adjustRightInd w:val="0"/>
        <w:ind w:left="1304"/>
        <w:jc w:val="both"/>
        <w:rPr>
          <w:rFonts w:ascii="Arial" w:hAnsi="Arial" w:cs="Arial"/>
          <w:szCs w:val="22"/>
        </w:rPr>
      </w:pPr>
    </w:p>
    <w:p w:rsidR="00FA54AE" w:rsidRPr="003A68FB" w:rsidRDefault="00FA54AE" w:rsidP="00FA54AE">
      <w:pPr>
        <w:tabs>
          <w:tab w:val="clear" w:pos="1304"/>
        </w:tabs>
        <w:autoSpaceDE w:val="0"/>
        <w:autoSpaceDN w:val="0"/>
        <w:adjustRightInd w:val="0"/>
        <w:jc w:val="both"/>
        <w:rPr>
          <w:rFonts w:ascii="Arial" w:hAnsi="Arial" w:cs="Arial"/>
          <w:szCs w:val="22"/>
        </w:rPr>
      </w:pPr>
    </w:p>
    <w:p w:rsidR="009E6FC9" w:rsidRPr="003A68FB" w:rsidRDefault="00C05BBE" w:rsidP="00FA54AE">
      <w:pPr>
        <w:tabs>
          <w:tab w:val="clear" w:pos="1304"/>
        </w:tabs>
        <w:autoSpaceDE w:val="0"/>
        <w:autoSpaceDN w:val="0"/>
        <w:adjustRightInd w:val="0"/>
        <w:jc w:val="both"/>
        <w:rPr>
          <w:rFonts w:ascii="Arial" w:hAnsi="Arial" w:cs="Arial"/>
          <w:szCs w:val="22"/>
        </w:rPr>
      </w:pPr>
      <w:r w:rsidRPr="005F77A5">
        <w:rPr>
          <w:rFonts w:ascii="Arial" w:hAnsi="Arial" w:cs="Arial"/>
          <w:szCs w:val="22"/>
        </w:rPr>
        <w:t>Turussa</w:t>
      </w:r>
      <w:r w:rsidR="009E6FC9" w:rsidRPr="005F77A5">
        <w:rPr>
          <w:rFonts w:ascii="Arial" w:hAnsi="Arial" w:cs="Arial"/>
          <w:szCs w:val="22"/>
        </w:rPr>
        <w:t xml:space="preserve"> </w:t>
      </w:r>
      <w:r w:rsidR="00E337DE" w:rsidRPr="005F77A5">
        <w:rPr>
          <w:rFonts w:ascii="Arial" w:hAnsi="Arial" w:cs="Arial"/>
          <w:szCs w:val="22"/>
        </w:rPr>
        <w:t xml:space="preserve">maaliskuun </w:t>
      </w:r>
      <w:r w:rsidR="00863DDD" w:rsidRPr="005F77A5">
        <w:rPr>
          <w:rFonts w:ascii="Arial" w:hAnsi="Arial" w:cs="Arial"/>
          <w:szCs w:val="22"/>
        </w:rPr>
        <w:t>5</w:t>
      </w:r>
      <w:r w:rsidR="00C53AD2" w:rsidRPr="005F77A5">
        <w:rPr>
          <w:rFonts w:ascii="Arial" w:hAnsi="Arial" w:cs="Arial"/>
          <w:szCs w:val="22"/>
        </w:rPr>
        <w:t>.</w:t>
      </w:r>
      <w:r w:rsidR="00C53AD2" w:rsidRPr="003A68FB">
        <w:rPr>
          <w:rFonts w:ascii="Arial" w:hAnsi="Arial" w:cs="Arial"/>
          <w:szCs w:val="22"/>
        </w:rPr>
        <w:t xml:space="preserve"> </w:t>
      </w:r>
      <w:r w:rsidR="00E337DE" w:rsidRPr="003A68FB">
        <w:rPr>
          <w:rFonts w:ascii="Arial" w:hAnsi="Arial" w:cs="Arial"/>
          <w:szCs w:val="22"/>
        </w:rPr>
        <w:t>päivänä 201</w:t>
      </w:r>
      <w:r w:rsidR="00196B7A">
        <w:rPr>
          <w:rFonts w:ascii="Arial" w:hAnsi="Arial" w:cs="Arial"/>
          <w:szCs w:val="22"/>
        </w:rPr>
        <w:t>8</w:t>
      </w:r>
    </w:p>
    <w:p w:rsidR="00FA54AE" w:rsidRPr="003A68FB" w:rsidRDefault="00FA54AE" w:rsidP="00FA54AE">
      <w:pPr>
        <w:tabs>
          <w:tab w:val="clear" w:pos="1304"/>
        </w:tabs>
        <w:autoSpaceDE w:val="0"/>
        <w:autoSpaceDN w:val="0"/>
        <w:adjustRightInd w:val="0"/>
        <w:jc w:val="both"/>
        <w:rPr>
          <w:rFonts w:ascii="Arial" w:hAnsi="Arial" w:cs="Arial"/>
          <w:szCs w:val="22"/>
        </w:rPr>
      </w:pPr>
    </w:p>
    <w:p w:rsidR="00FA54AE" w:rsidRPr="003A68FB" w:rsidRDefault="00FA54AE" w:rsidP="00FA54AE">
      <w:pPr>
        <w:tabs>
          <w:tab w:val="clear" w:pos="1304"/>
        </w:tabs>
        <w:autoSpaceDE w:val="0"/>
        <w:autoSpaceDN w:val="0"/>
        <w:adjustRightInd w:val="0"/>
        <w:jc w:val="both"/>
        <w:rPr>
          <w:rFonts w:ascii="Arial" w:hAnsi="Arial" w:cs="Arial"/>
          <w:szCs w:val="22"/>
        </w:rPr>
      </w:pPr>
    </w:p>
    <w:p w:rsidR="00757FB8" w:rsidRPr="003A68FB" w:rsidRDefault="00757FB8" w:rsidP="00FA54AE">
      <w:pPr>
        <w:tabs>
          <w:tab w:val="clear" w:pos="1304"/>
        </w:tabs>
        <w:autoSpaceDE w:val="0"/>
        <w:autoSpaceDN w:val="0"/>
        <w:adjustRightInd w:val="0"/>
        <w:jc w:val="both"/>
        <w:rPr>
          <w:rFonts w:ascii="Arial" w:hAnsi="Arial" w:cs="Arial"/>
          <w:szCs w:val="22"/>
        </w:rPr>
      </w:pPr>
    </w:p>
    <w:p w:rsidR="009E6FC9" w:rsidRPr="003A68FB" w:rsidRDefault="009E6FC9" w:rsidP="00757FB8">
      <w:pPr>
        <w:tabs>
          <w:tab w:val="clear" w:pos="1304"/>
        </w:tabs>
        <w:autoSpaceDE w:val="0"/>
        <w:autoSpaceDN w:val="0"/>
        <w:adjustRightInd w:val="0"/>
        <w:jc w:val="center"/>
        <w:rPr>
          <w:rFonts w:ascii="Arial" w:hAnsi="Arial" w:cs="Arial"/>
          <w:szCs w:val="22"/>
        </w:rPr>
      </w:pPr>
      <w:r w:rsidRPr="003A68FB">
        <w:rPr>
          <w:rFonts w:ascii="Arial" w:hAnsi="Arial" w:cs="Arial"/>
          <w:szCs w:val="22"/>
        </w:rPr>
        <w:t>Teleste Oyj</w:t>
      </w:r>
    </w:p>
    <w:p w:rsidR="00526AC6" w:rsidRPr="003A68FB" w:rsidRDefault="009E6FC9" w:rsidP="00526AC6">
      <w:pPr>
        <w:jc w:val="center"/>
        <w:rPr>
          <w:rFonts w:ascii="Arial" w:hAnsi="Arial" w:cs="Arial"/>
          <w:szCs w:val="22"/>
        </w:rPr>
      </w:pPr>
      <w:r w:rsidRPr="003A68FB">
        <w:rPr>
          <w:rFonts w:ascii="Arial" w:hAnsi="Arial" w:cs="Arial"/>
          <w:szCs w:val="22"/>
        </w:rPr>
        <w:t>Hallitus</w:t>
      </w:r>
    </w:p>
    <w:sectPr w:rsidR="00526AC6" w:rsidRPr="003A68FB" w:rsidSect="00E4346E">
      <w:headerReference w:type="default" r:id="rId8"/>
      <w:headerReference w:type="first" r:id="rId9"/>
      <w:pgSz w:w="11906" w:h="16838" w:code="9"/>
      <w:pgMar w:top="2041" w:right="1134" w:bottom="158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11" w:rsidRDefault="00631511">
      <w:r>
        <w:separator/>
      </w:r>
    </w:p>
  </w:endnote>
  <w:endnote w:type="continuationSeparator" w:id="0">
    <w:p w:rsidR="00631511" w:rsidRDefault="0063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11" w:rsidRDefault="00631511">
      <w:r>
        <w:separator/>
      </w:r>
    </w:p>
  </w:footnote>
  <w:footnote w:type="continuationSeparator" w:id="0">
    <w:p w:rsidR="00631511" w:rsidRDefault="0063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9D" w:rsidRPr="00196B7A" w:rsidRDefault="00C175DA" w:rsidP="00E4346E">
    <w:pPr>
      <w:pStyle w:val="Header"/>
      <w:tabs>
        <w:tab w:val="clear" w:pos="4819"/>
        <w:tab w:val="clear" w:pos="9638"/>
      </w:tabs>
      <w:rPr>
        <w:rFonts w:ascii="Arial" w:hAnsi="Arial" w:cs="Arial"/>
        <w:b/>
        <w:sz w:val="19"/>
        <w:szCs w:val="19"/>
      </w:rPr>
    </w:pPr>
    <w:r w:rsidRPr="00196B7A">
      <w:rPr>
        <w:rFonts w:ascii="Arial" w:hAnsi="Arial" w:cs="Arial"/>
        <w:b/>
        <w:sz w:val="19"/>
        <w:szCs w:val="19"/>
      </w:rPr>
      <w:t>TELESTE</w:t>
    </w:r>
    <w:r w:rsidR="0056499D" w:rsidRPr="00196B7A">
      <w:rPr>
        <w:rFonts w:ascii="Arial" w:hAnsi="Arial" w:cs="Arial"/>
        <w:b/>
        <w:sz w:val="19"/>
        <w:szCs w:val="19"/>
      </w:rPr>
      <w:t xml:space="preserve"> OYJ</w:t>
    </w:r>
    <w:r w:rsidR="0056499D" w:rsidRPr="00196B7A">
      <w:rPr>
        <w:rFonts w:ascii="Arial" w:hAnsi="Arial" w:cs="Arial"/>
        <w:b/>
        <w:sz w:val="19"/>
        <w:szCs w:val="19"/>
      </w:rPr>
      <w:tab/>
    </w:r>
    <w:r w:rsidR="0056499D" w:rsidRPr="00196B7A">
      <w:rPr>
        <w:rFonts w:ascii="Arial" w:hAnsi="Arial" w:cs="Arial"/>
        <w:b/>
        <w:sz w:val="19"/>
        <w:szCs w:val="19"/>
      </w:rPr>
      <w:tab/>
    </w:r>
    <w:r w:rsidR="0056499D" w:rsidRPr="00196B7A">
      <w:rPr>
        <w:rFonts w:ascii="Arial" w:hAnsi="Arial" w:cs="Arial"/>
        <w:b/>
        <w:sz w:val="19"/>
        <w:szCs w:val="19"/>
      </w:rPr>
      <w:tab/>
    </w:r>
    <w:r w:rsidR="008179A4">
      <w:rPr>
        <w:rFonts w:ascii="Arial" w:hAnsi="Arial" w:cs="Arial"/>
        <w:b/>
        <w:sz w:val="19"/>
        <w:szCs w:val="19"/>
      </w:rPr>
      <w:tab/>
    </w:r>
    <w:r w:rsidR="0056499D" w:rsidRPr="00196B7A">
      <w:rPr>
        <w:rFonts w:ascii="Arial" w:hAnsi="Arial" w:cs="Arial"/>
        <w:b/>
        <w:sz w:val="19"/>
        <w:szCs w:val="19"/>
      </w:rPr>
      <w:t>HALLITUKSEN EHDOTUS</w:t>
    </w:r>
  </w:p>
  <w:p w:rsidR="0056499D" w:rsidRDefault="000144AA" w:rsidP="00E4346E">
    <w:pPr>
      <w:pStyle w:val="Header"/>
      <w:tabs>
        <w:tab w:val="clear" w:pos="4819"/>
        <w:tab w:val="clear" w:pos="9638"/>
      </w:tabs>
      <w:jc w:val="right"/>
      <w:rPr>
        <w:rStyle w:val="PageNumber"/>
      </w:rPr>
    </w:pPr>
    <w:r>
      <w:rPr>
        <w:rStyle w:val="PageNumber"/>
      </w:rPr>
      <w:fldChar w:fldCharType="begin"/>
    </w:r>
    <w:r w:rsidR="0056499D">
      <w:rPr>
        <w:rStyle w:val="PageNumber"/>
      </w:rPr>
      <w:instrText xml:space="preserve"> PAGE </w:instrText>
    </w:r>
    <w:r>
      <w:rPr>
        <w:rStyle w:val="PageNumber"/>
      </w:rPr>
      <w:fldChar w:fldCharType="separate"/>
    </w:r>
    <w:r w:rsidR="006A4C89">
      <w:rPr>
        <w:rStyle w:val="PageNumber"/>
        <w:noProof/>
      </w:rPr>
      <w:t>2</w:t>
    </w:r>
    <w:r>
      <w:rPr>
        <w:rStyle w:val="PageNumber"/>
      </w:rPr>
      <w:fldChar w:fldCharType="end"/>
    </w:r>
  </w:p>
  <w:p w:rsidR="0056499D" w:rsidRDefault="0056499D" w:rsidP="00E4346E">
    <w:pPr>
      <w:pStyle w:val="Header"/>
      <w:pBdr>
        <w:bottom w:val="single" w:sz="4" w:space="1" w:color="auto"/>
      </w:pBdr>
      <w:tabs>
        <w:tab w:val="clear" w:pos="4819"/>
        <w:tab w:val="clear" w:pos="9638"/>
      </w:tabs>
    </w:pPr>
  </w:p>
  <w:p w:rsidR="0056499D" w:rsidRDefault="0056499D" w:rsidP="00E4346E">
    <w:pPr>
      <w:pStyle w:val="Header"/>
      <w:tabs>
        <w:tab w:val="clear" w:pos="4819"/>
        <w:tab w:val="clear" w:pos="9638"/>
      </w:tabs>
    </w:pPr>
  </w:p>
  <w:p w:rsidR="0056499D" w:rsidRDefault="0056499D" w:rsidP="00E4346E">
    <w:pPr>
      <w:pStyle w:val="Header"/>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9D" w:rsidRPr="00196B7A" w:rsidRDefault="009E6FC9" w:rsidP="00E4346E">
    <w:pPr>
      <w:pStyle w:val="Header"/>
      <w:tabs>
        <w:tab w:val="clear" w:pos="4819"/>
        <w:tab w:val="clear" w:pos="9638"/>
      </w:tabs>
      <w:rPr>
        <w:rFonts w:ascii="Arial" w:hAnsi="Arial" w:cs="Arial"/>
        <w:b/>
        <w:sz w:val="19"/>
        <w:szCs w:val="19"/>
      </w:rPr>
    </w:pPr>
    <w:r w:rsidRPr="00196B7A">
      <w:rPr>
        <w:rFonts w:ascii="Arial" w:hAnsi="Arial" w:cs="Arial"/>
        <w:b/>
        <w:sz w:val="19"/>
        <w:szCs w:val="19"/>
      </w:rPr>
      <w:t>TELESTE</w:t>
    </w:r>
    <w:r w:rsidR="0056499D" w:rsidRPr="00196B7A">
      <w:rPr>
        <w:rFonts w:ascii="Arial" w:hAnsi="Arial" w:cs="Arial"/>
        <w:b/>
        <w:sz w:val="19"/>
        <w:szCs w:val="19"/>
      </w:rPr>
      <w:t xml:space="preserve"> OYJ</w:t>
    </w:r>
    <w:r w:rsidR="0056499D" w:rsidRPr="00196B7A">
      <w:rPr>
        <w:rFonts w:ascii="Arial" w:hAnsi="Arial" w:cs="Arial"/>
        <w:b/>
        <w:sz w:val="19"/>
        <w:szCs w:val="19"/>
      </w:rPr>
      <w:tab/>
    </w:r>
    <w:r w:rsidR="0056499D" w:rsidRPr="00196B7A">
      <w:rPr>
        <w:rFonts w:ascii="Arial" w:hAnsi="Arial" w:cs="Arial"/>
        <w:b/>
        <w:sz w:val="19"/>
        <w:szCs w:val="19"/>
      </w:rPr>
      <w:tab/>
    </w:r>
    <w:r w:rsidR="0056499D" w:rsidRPr="00196B7A">
      <w:rPr>
        <w:rFonts w:ascii="Arial" w:hAnsi="Arial" w:cs="Arial"/>
        <w:b/>
        <w:sz w:val="19"/>
        <w:szCs w:val="19"/>
      </w:rPr>
      <w:tab/>
    </w:r>
    <w:r w:rsidR="0056499D" w:rsidRPr="00196B7A">
      <w:rPr>
        <w:rFonts w:ascii="Arial" w:hAnsi="Arial" w:cs="Arial"/>
        <w:b/>
        <w:sz w:val="19"/>
        <w:szCs w:val="19"/>
      </w:rPr>
      <w:tab/>
      <w:t>HALLITUKSEN EHDOTUS</w:t>
    </w:r>
  </w:p>
  <w:p w:rsidR="0056499D" w:rsidRPr="00586BB2" w:rsidRDefault="0056499D" w:rsidP="00E4346E">
    <w:pPr>
      <w:pStyle w:val="Header"/>
      <w:tabs>
        <w:tab w:val="clear" w:pos="4819"/>
        <w:tab w:val="clear" w:pos="9638"/>
      </w:tabs>
      <w:rPr>
        <w:sz w:val="20"/>
      </w:rPr>
    </w:pPr>
  </w:p>
  <w:p w:rsidR="0056499D" w:rsidRPr="002510AE" w:rsidRDefault="0056499D" w:rsidP="00E4346E">
    <w:pPr>
      <w:pStyle w:val="Header"/>
      <w:pBdr>
        <w:bottom w:val="single" w:sz="4" w:space="1" w:color="auto"/>
      </w:pBdr>
      <w:tabs>
        <w:tab w:val="clear" w:pos="4819"/>
        <w:tab w:val="clear" w:pos="9638"/>
      </w:tabs>
      <w:rPr>
        <w:rFonts w:ascii="Verdana" w:hAnsi="Verdana"/>
        <w:sz w:val="20"/>
      </w:rPr>
    </w:pPr>
  </w:p>
  <w:p w:rsidR="0056499D" w:rsidRPr="002510AE" w:rsidRDefault="0056499D" w:rsidP="00E4346E">
    <w:pPr>
      <w:pStyle w:val="Header"/>
      <w:tabs>
        <w:tab w:val="clear" w:pos="4819"/>
        <w:tab w:val="clear" w:pos="9638"/>
      </w:tabs>
      <w:rPr>
        <w:rFonts w:ascii="Verdana" w:hAnsi="Verdana"/>
        <w:sz w:val="20"/>
      </w:rPr>
    </w:pPr>
  </w:p>
  <w:p w:rsidR="0056499D" w:rsidRDefault="0056499D" w:rsidP="00E4346E">
    <w:pPr>
      <w:pStyle w:val="Header"/>
      <w:tabs>
        <w:tab w:val="clear" w:pos="4819"/>
        <w:tab w:val="clear" w:pos="9638"/>
      </w:tabs>
      <w:rPr>
        <w:rFonts w:ascii="Verdana" w:hAnsi="Verdana"/>
        <w:sz w:val="20"/>
      </w:rPr>
    </w:pPr>
  </w:p>
  <w:p w:rsidR="0056499D" w:rsidRPr="002510AE" w:rsidRDefault="0056499D" w:rsidP="00E4346E">
    <w:pPr>
      <w:pStyle w:val="Header"/>
      <w:tabs>
        <w:tab w:val="clear" w:pos="4819"/>
        <w:tab w:val="clear" w:pos="9638"/>
      </w:tabs>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242396"/>
    <w:lvl w:ilvl="0">
      <w:start w:val="1"/>
      <w:numFmt w:val="decimal"/>
      <w:lvlText w:val="%1."/>
      <w:lvlJc w:val="left"/>
      <w:pPr>
        <w:tabs>
          <w:tab w:val="num" w:pos="1492"/>
        </w:tabs>
        <w:ind w:left="1492" w:hanging="360"/>
      </w:pPr>
    </w:lvl>
  </w:abstractNum>
  <w:abstractNum w:abstractNumId="1">
    <w:nsid w:val="FFFFFF7D"/>
    <w:multiLevelType w:val="singleLevel"/>
    <w:tmpl w:val="1BB674A2"/>
    <w:lvl w:ilvl="0">
      <w:start w:val="1"/>
      <w:numFmt w:val="decimal"/>
      <w:lvlText w:val="%1."/>
      <w:lvlJc w:val="left"/>
      <w:pPr>
        <w:tabs>
          <w:tab w:val="num" w:pos="1209"/>
        </w:tabs>
        <w:ind w:left="1209" w:hanging="360"/>
      </w:pPr>
    </w:lvl>
  </w:abstractNum>
  <w:abstractNum w:abstractNumId="2">
    <w:nsid w:val="FFFFFF7E"/>
    <w:multiLevelType w:val="singleLevel"/>
    <w:tmpl w:val="0A7A50E2"/>
    <w:lvl w:ilvl="0">
      <w:start w:val="1"/>
      <w:numFmt w:val="decimal"/>
      <w:lvlText w:val="%1."/>
      <w:lvlJc w:val="left"/>
      <w:pPr>
        <w:tabs>
          <w:tab w:val="num" w:pos="926"/>
        </w:tabs>
        <w:ind w:left="926" w:hanging="360"/>
      </w:pPr>
    </w:lvl>
  </w:abstractNum>
  <w:abstractNum w:abstractNumId="3">
    <w:nsid w:val="FFFFFF7F"/>
    <w:multiLevelType w:val="singleLevel"/>
    <w:tmpl w:val="30601DE0"/>
    <w:lvl w:ilvl="0">
      <w:start w:val="1"/>
      <w:numFmt w:val="decimal"/>
      <w:lvlText w:val="%1."/>
      <w:lvlJc w:val="left"/>
      <w:pPr>
        <w:tabs>
          <w:tab w:val="num" w:pos="643"/>
        </w:tabs>
        <w:ind w:left="643" w:hanging="360"/>
      </w:pPr>
    </w:lvl>
  </w:abstractNum>
  <w:abstractNum w:abstractNumId="4">
    <w:nsid w:val="FFFFFF80"/>
    <w:multiLevelType w:val="singleLevel"/>
    <w:tmpl w:val="CC289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A867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267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CCC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8A6E0"/>
    <w:lvl w:ilvl="0">
      <w:start w:val="1"/>
      <w:numFmt w:val="decimal"/>
      <w:lvlText w:val="%1."/>
      <w:lvlJc w:val="left"/>
      <w:pPr>
        <w:tabs>
          <w:tab w:val="num" w:pos="360"/>
        </w:tabs>
        <w:ind w:left="360" w:hanging="360"/>
      </w:pPr>
    </w:lvl>
  </w:abstractNum>
  <w:abstractNum w:abstractNumId="9">
    <w:nsid w:val="FFFFFF89"/>
    <w:multiLevelType w:val="singleLevel"/>
    <w:tmpl w:val="579A384E"/>
    <w:lvl w:ilvl="0">
      <w:start w:val="1"/>
      <w:numFmt w:val="bullet"/>
      <w:lvlText w:val=""/>
      <w:lvlJc w:val="left"/>
      <w:pPr>
        <w:tabs>
          <w:tab w:val="num" w:pos="360"/>
        </w:tabs>
        <w:ind w:left="360" w:hanging="360"/>
      </w:pPr>
      <w:rPr>
        <w:rFonts w:ascii="Symbol" w:hAnsi="Symbol" w:hint="default"/>
      </w:rPr>
    </w:lvl>
  </w:abstractNum>
  <w:abstractNum w:abstractNumId="10">
    <w:nsid w:val="34D1749B"/>
    <w:multiLevelType w:val="hybridMultilevel"/>
    <w:tmpl w:val="3B1CF6D4"/>
    <w:lvl w:ilvl="0" w:tplc="532C50DA">
      <w:start w:val="1"/>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nsid w:val="3C124BBB"/>
    <w:multiLevelType w:val="hybridMultilevel"/>
    <w:tmpl w:val="2B0A6C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6E"/>
    <w:rsid w:val="00000EAE"/>
    <w:rsid w:val="000144AA"/>
    <w:rsid w:val="00021053"/>
    <w:rsid w:val="00021C39"/>
    <w:rsid w:val="0002346C"/>
    <w:rsid w:val="00025562"/>
    <w:rsid w:val="00033262"/>
    <w:rsid w:val="00047F4C"/>
    <w:rsid w:val="000633A5"/>
    <w:rsid w:val="000842D4"/>
    <w:rsid w:val="000B23CC"/>
    <w:rsid w:val="000B6D2E"/>
    <w:rsid w:val="000B7253"/>
    <w:rsid w:val="000C2882"/>
    <w:rsid w:val="000C47A8"/>
    <w:rsid w:val="000C5556"/>
    <w:rsid w:val="000D2C4C"/>
    <w:rsid w:val="000E79F6"/>
    <w:rsid w:val="000F1CAA"/>
    <w:rsid w:val="000F3136"/>
    <w:rsid w:val="000F4D9E"/>
    <w:rsid w:val="000F5518"/>
    <w:rsid w:val="000F7485"/>
    <w:rsid w:val="00123AC1"/>
    <w:rsid w:val="001405C3"/>
    <w:rsid w:val="0014313A"/>
    <w:rsid w:val="0014703B"/>
    <w:rsid w:val="001569E8"/>
    <w:rsid w:val="00165BFA"/>
    <w:rsid w:val="001766A1"/>
    <w:rsid w:val="00177579"/>
    <w:rsid w:val="001850CF"/>
    <w:rsid w:val="00185435"/>
    <w:rsid w:val="0019395A"/>
    <w:rsid w:val="00194191"/>
    <w:rsid w:val="00196B7A"/>
    <w:rsid w:val="001C7E4A"/>
    <w:rsid w:val="001D0C67"/>
    <w:rsid w:val="001E1E6B"/>
    <w:rsid w:val="001E5AB2"/>
    <w:rsid w:val="001F014C"/>
    <w:rsid w:val="001F59C8"/>
    <w:rsid w:val="002306D4"/>
    <w:rsid w:val="00231663"/>
    <w:rsid w:val="002419A2"/>
    <w:rsid w:val="0024340D"/>
    <w:rsid w:val="002510AE"/>
    <w:rsid w:val="00254AEC"/>
    <w:rsid w:val="00262E39"/>
    <w:rsid w:val="0026557A"/>
    <w:rsid w:val="002749C2"/>
    <w:rsid w:val="00291DFF"/>
    <w:rsid w:val="002A1EBE"/>
    <w:rsid w:val="002A55E5"/>
    <w:rsid w:val="002B5B5A"/>
    <w:rsid w:val="002C3A06"/>
    <w:rsid w:val="002C6FC6"/>
    <w:rsid w:val="002D69C2"/>
    <w:rsid w:val="002F4526"/>
    <w:rsid w:val="00317D98"/>
    <w:rsid w:val="00320ED2"/>
    <w:rsid w:val="00322069"/>
    <w:rsid w:val="0032437C"/>
    <w:rsid w:val="00331C0D"/>
    <w:rsid w:val="003373FA"/>
    <w:rsid w:val="00342431"/>
    <w:rsid w:val="00372035"/>
    <w:rsid w:val="00384F45"/>
    <w:rsid w:val="00386464"/>
    <w:rsid w:val="003A1DEB"/>
    <w:rsid w:val="003A4AFD"/>
    <w:rsid w:val="003A653D"/>
    <w:rsid w:val="003A68FB"/>
    <w:rsid w:val="003C277E"/>
    <w:rsid w:val="00404A12"/>
    <w:rsid w:val="00420F1C"/>
    <w:rsid w:val="004211F5"/>
    <w:rsid w:val="0046225D"/>
    <w:rsid w:val="00463E24"/>
    <w:rsid w:val="00464DF9"/>
    <w:rsid w:val="0046756E"/>
    <w:rsid w:val="00486A1B"/>
    <w:rsid w:val="00495F2B"/>
    <w:rsid w:val="004D13CA"/>
    <w:rsid w:val="005067AB"/>
    <w:rsid w:val="00507414"/>
    <w:rsid w:val="00524681"/>
    <w:rsid w:val="00526AC6"/>
    <w:rsid w:val="00527E2D"/>
    <w:rsid w:val="00545CE7"/>
    <w:rsid w:val="0056499D"/>
    <w:rsid w:val="00586BB2"/>
    <w:rsid w:val="005A1F17"/>
    <w:rsid w:val="005A5466"/>
    <w:rsid w:val="005B39D9"/>
    <w:rsid w:val="005C356C"/>
    <w:rsid w:val="005C60E8"/>
    <w:rsid w:val="005C72C3"/>
    <w:rsid w:val="005D6206"/>
    <w:rsid w:val="005D6B98"/>
    <w:rsid w:val="005E24BF"/>
    <w:rsid w:val="005F213A"/>
    <w:rsid w:val="005F25A0"/>
    <w:rsid w:val="005F77A5"/>
    <w:rsid w:val="005F77F0"/>
    <w:rsid w:val="005F7A97"/>
    <w:rsid w:val="00617FB2"/>
    <w:rsid w:val="00631511"/>
    <w:rsid w:val="006348B5"/>
    <w:rsid w:val="00656353"/>
    <w:rsid w:val="00677D47"/>
    <w:rsid w:val="0069173C"/>
    <w:rsid w:val="006A0A6D"/>
    <w:rsid w:val="006A4C89"/>
    <w:rsid w:val="006B03FA"/>
    <w:rsid w:val="006C556C"/>
    <w:rsid w:val="007067A3"/>
    <w:rsid w:val="00707E74"/>
    <w:rsid w:val="0071062B"/>
    <w:rsid w:val="007235E1"/>
    <w:rsid w:val="00725DEF"/>
    <w:rsid w:val="00726581"/>
    <w:rsid w:val="00732FEB"/>
    <w:rsid w:val="0075236B"/>
    <w:rsid w:val="00757FB8"/>
    <w:rsid w:val="0077587E"/>
    <w:rsid w:val="00776943"/>
    <w:rsid w:val="007B7C25"/>
    <w:rsid w:val="007C0C5F"/>
    <w:rsid w:val="007D365B"/>
    <w:rsid w:val="007D4CB3"/>
    <w:rsid w:val="007E0335"/>
    <w:rsid w:val="007E2EBA"/>
    <w:rsid w:val="00802B4A"/>
    <w:rsid w:val="00813487"/>
    <w:rsid w:val="008179A4"/>
    <w:rsid w:val="00827A72"/>
    <w:rsid w:val="0083179E"/>
    <w:rsid w:val="008420F6"/>
    <w:rsid w:val="00844CA6"/>
    <w:rsid w:val="00857468"/>
    <w:rsid w:val="00860C6D"/>
    <w:rsid w:val="00863DDD"/>
    <w:rsid w:val="00867B77"/>
    <w:rsid w:val="00890893"/>
    <w:rsid w:val="00892646"/>
    <w:rsid w:val="008A0785"/>
    <w:rsid w:val="008C2BAD"/>
    <w:rsid w:val="008C336C"/>
    <w:rsid w:val="008C4B31"/>
    <w:rsid w:val="008C7C68"/>
    <w:rsid w:val="008D5427"/>
    <w:rsid w:val="008F24EE"/>
    <w:rsid w:val="00904092"/>
    <w:rsid w:val="00931574"/>
    <w:rsid w:val="00932104"/>
    <w:rsid w:val="00943DFC"/>
    <w:rsid w:val="00983A59"/>
    <w:rsid w:val="00996135"/>
    <w:rsid w:val="00996FF7"/>
    <w:rsid w:val="009A4450"/>
    <w:rsid w:val="009A4977"/>
    <w:rsid w:val="009C392A"/>
    <w:rsid w:val="009D45C3"/>
    <w:rsid w:val="009D72E1"/>
    <w:rsid w:val="009E597F"/>
    <w:rsid w:val="009E6FC9"/>
    <w:rsid w:val="009F2110"/>
    <w:rsid w:val="009F27FA"/>
    <w:rsid w:val="00A306B5"/>
    <w:rsid w:val="00A33D7F"/>
    <w:rsid w:val="00A37B63"/>
    <w:rsid w:val="00A55420"/>
    <w:rsid w:val="00A66294"/>
    <w:rsid w:val="00A82B9A"/>
    <w:rsid w:val="00A867D6"/>
    <w:rsid w:val="00A940B1"/>
    <w:rsid w:val="00AA041C"/>
    <w:rsid w:val="00AA27A8"/>
    <w:rsid w:val="00AB06B8"/>
    <w:rsid w:val="00AB41EA"/>
    <w:rsid w:val="00AB62D0"/>
    <w:rsid w:val="00AF761F"/>
    <w:rsid w:val="00B014D4"/>
    <w:rsid w:val="00B522DB"/>
    <w:rsid w:val="00B524EC"/>
    <w:rsid w:val="00B55610"/>
    <w:rsid w:val="00B5701D"/>
    <w:rsid w:val="00B637FB"/>
    <w:rsid w:val="00B93C9C"/>
    <w:rsid w:val="00BA44D0"/>
    <w:rsid w:val="00BB0B75"/>
    <w:rsid w:val="00BC0D8B"/>
    <w:rsid w:val="00BC384B"/>
    <w:rsid w:val="00BE0F3C"/>
    <w:rsid w:val="00C05BBE"/>
    <w:rsid w:val="00C116DF"/>
    <w:rsid w:val="00C11D04"/>
    <w:rsid w:val="00C156C2"/>
    <w:rsid w:val="00C175DA"/>
    <w:rsid w:val="00C31105"/>
    <w:rsid w:val="00C3449C"/>
    <w:rsid w:val="00C4041F"/>
    <w:rsid w:val="00C40BFF"/>
    <w:rsid w:val="00C40C7D"/>
    <w:rsid w:val="00C47E71"/>
    <w:rsid w:val="00C5088D"/>
    <w:rsid w:val="00C53AD2"/>
    <w:rsid w:val="00C86E1A"/>
    <w:rsid w:val="00CB0A4A"/>
    <w:rsid w:val="00CB58A6"/>
    <w:rsid w:val="00CB787D"/>
    <w:rsid w:val="00CD7B47"/>
    <w:rsid w:val="00CE41D6"/>
    <w:rsid w:val="00D1263C"/>
    <w:rsid w:val="00D240C4"/>
    <w:rsid w:val="00D404F7"/>
    <w:rsid w:val="00D63703"/>
    <w:rsid w:val="00D8067E"/>
    <w:rsid w:val="00D91529"/>
    <w:rsid w:val="00D92403"/>
    <w:rsid w:val="00DA7109"/>
    <w:rsid w:val="00DB2712"/>
    <w:rsid w:val="00DC2BBC"/>
    <w:rsid w:val="00DC5E32"/>
    <w:rsid w:val="00DE1A41"/>
    <w:rsid w:val="00DE313A"/>
    <w:rsid w:val="00DF1BAE"/>
    <w:rsid w:val="00E074DA"/>
    <w:rsid w:val="00E337DE"/>
    <w:rsid w:val="00E33862"/>
    <w:rsid w:val="00E4159A"/>
    <w:rsid w:val="00E4346E"/>
    <w:rsid w:val="00E606F8"/>
    <w:rsid w:val="00E804F1"/>
    <w:rsid w:val="00E90067"/>
    <w:rsid w:val="00E905F5"/>
    <w:rsid w:val="00EB648A"/>
    <w:rsid w:val="00ED4A06"/>
    <w:rsid w:val="00EF7E4D"/>
    <w:rsid w:val="00F0360D"/>
    <w:rsid w:val="00F160AF"/>
    <w:rsid w:val="00F24E20"/>
    <w:rsid w:val="00F261CB"/>
    <w:rsid w:val="00F471B0"/>
    <w:rsid w:val="00F56299"/>
    <w:rsid w:val="00F564A0"/>
    <w:rsid w:val="00F57916"/>
    <w:rsid w:val="00F65A71"/>
    <w:rsid w:val="00F67046"/>
    <w:rsid w:val="00F9416C"/>
    <w:rsid w:val="00FA54AE"/>
    <w:rsid w:val="00FA6819"/>
    <w:rsid w:val="00FA75AD"/>
    <w:rsid w:val="00FB7CA5"/>
    <w:rsid w:val="00FC72D7"/>
    <w:rsid w:val="00FE18F3"/>
    <w:rsid w:val="00FE2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6E"/>
    <w:pPr>
      <w:tabs>
        <w:tab w:val="left" w:pos="1304"/>
      </w:tabs>
    </w:pPr>
    <w:rPr>
      <w:rFonts w:ascii="Univers" w:hAnsi="Univers"/>
      <w:sz w:val="22"/>
    </w:rPr>
  </w:style>
  <w:style w:type="paragraph" w:styleId="Heading1">
    <w:name w:val="heading 1"/>
    <w:aliases w:val="O1"/>
    <w:basedOn w:val="Normal"/>
    <w:next w:val="Normal"/>
    <w:qFormat/>
    <w:rsid w:val="00231663"/>
    <w:pPr>
      <w:tabs>
        <w:tab w:val="clear" w:pos="1304"/>
      </w:tabs>
      <w:outlineLvl w:val="0"/>
    </w:pPr>
    <w:rPr>
      <w:b/>
    </w:rPr>
  </w:style>
  <w:style w:type="paragraph" w:styleId="Heading2">
    <w:name w:val="heading 2"/>
    <w:aliases w:val="O2"/>
    <w:basedOn w:val="Normal"/>
    <w:next w:val="Normal"/>
    <w:qFormat/>
    <w:rsid w:val="00231663"/>
    <w:pPr>
      <w:tabs>
        <w:tab w:val="clear" w:pos="1304"/>
      </w:tabs>
      <w:outlineLvl w:val="1"/>
    </w:pPr>
    <w:rPr>
      <w:b/>
    </w:rPr>
  </w:style>
  <w:style w:type="paragraph" w:styleId="Heading3">
    <w:name w:val="heading 3"/>
    <w:aliases w:val="O3"/>
    <w:basedOn w:val="Normal"/>
    <w:next w:val="Normal"/>
    <w:qFormat/>
    <w:rsid w:val="00231663"/>
    <w:pPr>
      <w:tabs>
        <w:tab w:val="clear" w:pos="1304"/>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0">
    <w:name w:val="R0"/>
    <w:basedOn w:val="Normal"/>
    <w:rsid w:val="007C0C5F"/>
    <w:pPr>
      <w:tabs>
        <w:tab w:val="clear" w:pos="1304"/>
      </w:tabs>
      <w:ind w:left="1304" w:hanging="1304"/>
      <w:jc w:val="both"/>
    </w:pPr>
    <w:rPr>
      <w:sz w:val="20"/>
    </w:rPr>
  </w:style>
  <w:style w:type="paragraph" w:customStyle="1" w:styleId="R1">
    <w:name w:val="R1"/>
    <w:basedOn w:val="Normal"/>
    <w:rsid w:val="007C0C5F"/>
    <w:pPr>
      <w:tabs>
        <w:tab w:val="clear" w:pos="1304"/>
      </w:tabs>
      <w:ind w:left="1956" w:hanging="652"/>
      <w:jc w:val="both"/>
    </w:pPr>
    <w:rPr>
      <w:sz w:val="20"/>
    </w:rPr>
  </w:style>
  <w:style w:type="paragraph" w:customStyle="1" w:styleId="R2">
    <w:name w:val="R2"/>
    <w:basedOn w:val="Normal"/>
    <w:rsid w:val="007C0C5F"/>
    <w:pPr>
      <w:tabs>
        <w:tab w:val="clear" w:pos="1304"/>
      </w:tabs>
      <w:ind w:left="3169" w:hanging="578"/>
      <w:jc w:val="both"/>
    </w:pPr>
    <w:rPr>
      <w:sz w:val="20"/>
    </w:rPr>
  </w:style>
  <w:style w:type="paragraph" w:customStyle="1" w:styleId="R3">
    <w:name w:val="R3"/>
    <w:basedOn w:val="Normal"/>
    <w:rsid w:val="007C0C5F"/>
    <w:pPr>
      <w:tabs>
        <w:tab w:val="clear" w:pos="1304"/>
      </w:tabs>
      <w:ind w:left="4468" w:hanging="578"/>
      <w:jc w:val="both"/>
    </w:pPr>
    <w:rPr>
      <w:sz w:val="20"/>
    </w:rPr>
  </w:style>
  <w:style w:type="paragraph" w:customStyle="1" w:styleId="S1">
    <w:name w:val="S1"/>
    <w:basedOn w:val="Normal"/>
    <w:rsid w:val="007C0C5F"/>
    <w:pPr>
      <w:tabs>
        <w:tab w:val="clear" w:pos="1304"/>
      </w:tabs>
      <w:ind w:left="1298"/>
      <w:jc w:val="both"/>
    </w:pPr>
    <w:rPr>
      <w:sz w:val="20"/>
    </w:rPr>
  </w:style>
  <w:style w:type="paragraph" w:customStyle="1" w:styleId="S2">
    <w:name w:val="S2"/>
    <w:basedOn w:val="Normal"/>
    <w:rsid w:val="007C0C5F"/>
    <w:pPr>
      <w:tabs>
        <w:tab w:val="clear" w:pos="1304"/>
      </w:tabs>
      <w:ind w:left="2591"/>
      <w:jc w:val="both"/>
    </w:pPr>
    <w:rPr>
      <w:sz w:val="20"/>
    </w:rPr>
  </w:style>
  <w:style w:type="paragraph" w:customStyle="1" w:styleId="S3">
    <w:name w:val="S3"/>
    <w:basedOn w:val="Normal"/>
    <w:rsid w:val="007C0C5F"/>
    <w:pPr>
      <w:tabs>
        <w:tab w:val="clear" w:pos="1304"/>
      </w:tabs>
      <w:ind w:left="3890"/>
      <w:jc w:val="both"/>
    </w:pPr>
    <w:rPr>
      <w:sz w:val="20"/>
    </w:rPr>
  </w:style>
  <w:style w:type="paragraph" w:styleId="TOC1">
    <w:name w:val="toc 1"/>
    <w:basedOn w:val="Normal"/>
    <w:next w:val="Normal"/>
    <w:autoRedefine/>
    <w:semiHidden/>
    <w:rsid w:val="00372035"/>
    <w:pPr>
      <w:tabs>
        <w:tab w:val="clear" w:pos="1304"/>
      </w:tabs>
      <w:spacing w:before="120"/>
      <w:outlineLvl w:val="0"/>
    </w:pPr>
    <w:rPr>
      <w:b/>
    </w:rPr>
  </w:style>
  <w:style w:type="paragraph" w:styleId="TOC2">
    <w:name w:val="toc 2"/>
    <w:basedOn w:val="Normal"/>
    <w:next w:val="Normal"/>
    <w:autoRedefine/>
    <w:semiHidden/>
    <w:rsid w:val="00372035"/>
    <w:pPr>
      <w:tabs>
        <w:tab w:val="clear" w:pos="1304"/>
      </w:tabs>
      <w:spacing w:before="120"/>
      <w:ind w:left="652"/>
      <w:outlineLvl w:val="1"/>
    </w:pPr>
  </w:style>
  <w:style w:type="paragraph" w:styleId="TOC3">
    <w:name w:val="toc 3"/>
    <w:basedOn w:val="Normal"/>
    <w:next w:val="Normal"/>
    <w:autoRedefine/>
    <w:semiHidden/>
    <w:rsid w:val="00372035"/>
    <w:pPr>
      <w:tabs>
        <w:tab w:val="clear" w:pos="1304"/>
      </w:tabs>
      <w:ind w:left="1304"/>
      <w:outlineLvl w:val="2"/>
    </w:pPr>
  </w:style>
  <w:style w:type="paragraph" w:customStyle="1" w:styleId="Tyyli1">
    <w:name w:val="Tyyli1"/>
    <w:basedOn w:val="Heading2"/>
    <w:rsid w:val="00372035"/>
    <w:rPr>
      <w:i/>
      <w:kern w:val="28"/>
    </w:rPr>
  </w:style>
  <w:style w:type="paragraph" w:styleId="Footer">
    <w:name w:val="footer"/>
    <w:basedOn w:val="Normal"/>
    <w:rsid w:val="007C0C5F"/>
    <w:pPr>
      <w:tabs>
        <w:tab w:val="clear" w:pos="1304"/>
        <w:tab w:val="center" w:pos="4819"/>
        <w:tab w:val="right" w:pos="9638"/>
      </w:tabs>
    </w:pPr>
    <w:rPr>
      <w:sz w:val="18"/>
    </w:rPr>
  </w:style>
  <w:style w:type="character" w:styleId="PageNumber">
    <w:name w:val="page number"/>
    <w:basedOn w:val="DefaultParagraphFont"/>
    <w:rsid w:val="007C0C5F"/>
    <w:rPr>
      <w:rFonts w:ascii="Univers" w:hAnsi="Univers"/>
      <w:sz w:val="20"/>
    </w:rPr>
  </w:style>
  <w:style w:type="paragraph" w:styleId="Header">
    <w:name w:val="header"/>
    <w:basedOn w:val="Normal"/>
    <w:rsid w:val="00E4346E"/>
    <w:pPr>
      <w:tabs>
        <w:tab w:val="clear" w:pos="1304"/>
        <w:tab w:val="center" w:pos="4819"/>
        <w:tab w:val="right" w:pos="9638"/>
      </w:tabs>
    </w:pPr>
  </w:style>
  <w:style w:type="paragraph" w:styleId="BalloonText">
    <w:name w:val="Balloon Text"/>
    <w:basedOn w:val="Normal"/>
    <w:semiHidden/>
    <w:rsid w:val="00320ED2"/>
    <w:rPr>
      <w:rFonts w:ascii="Tahoma" w:hAnsi="Tahoma" w:cs="Tahoma"/>
      <w:sz w:val="16"/>
      <w:szCs w:val="16"/>
    </w:rPr>
  </w:style>
  <w:style w:type="character" w:styleId="CommentReference">
    <w:name w:val="annotation reference"/>
    <w:basedOn w:val="DefaultParagraphFont"/>
    <w:rsid w:val="0069173C"/>
    <w:rPr>
      <w:sz w:val="16"/>
      <w:szCs w:val="16"/>
    </w:rPr>
  </w:style>
  <w:style w:type="paragraph" w:styleId="CommentText">
    <w:name w:val="annotation text"/>
    <w:basedOn w:val="Normal"/>
    <w:link w:val="CommentTextChar"/>
    <w:rsid w:val="0069173C"/>
    <w:rPr>
      <w:sz w:val="20"/>
    </w:rPr>
  </w:style>
  <w:style w:type="character" w:customStyle="1" w:styleId="CommentTextChar">
    <w:name w:val="Comment Text Char"/>
    <w:basedOn w:val="DefaultParagraphFont"/>
    <w:link w:val="CommentText"/>
    <w:rsid w:val="0069173C"/>
    <w:rPr>
      <w:rFonts w:ascii="Univers" w:hAnsi="Univers"/>
    </w:rPr>
  </w:style>
  <w:style w:type="paragraph" w:styleId="CommentSubject">
    <w:name w:val="annotation subject"/>
    <w:basedOn w:val="CommentText"/>
    <w:next w:val="CommentText"/>
    <w:link w:val="CommentSubjectChar"/>
    <w:rsid w:val="0069173C"/>
    <w:rPr>
      <w:b/>
      <w:bCs/>
    </w:rPr>
  </w:style>
  <w:style w:type="character" w:customStyle="1" w:styleId="CommentSubjectChar">
    <w:name w:val="Comment Subject Char"/>
    <w:basedOn w:val="CommentTextChar"/>
    <w:link w:val="CommentSubject"/>
    <w:rsid w:val="0069173C"/>
    <w:rPr>
      <w:rFonts w:ascii="Univers" w:hAnsi="Univers"/>
      <w:b/>
      <w:bCs/>
    </w:rPr>
  </w:style>
  <w:style w:type="paragraph" w:styleId="ListParagraph">
    <w:name w:val="List Paragraph"/>
    <w:basedOn w:val="Normal"/>
    <w:uiPriority w:val="34"/>
    <w:qFormat/>
    <w:rsid w:val="00D80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6E"/>
    <w:pPr>
      <w:tabs>
        <w:tab w:val="left" w:pos="1304"/>
      </w:tabs>
    </w:pPr>
    <w:rPr>
      <w:rFonts w:ascii="Univers" w:hAnsi="Univers"/>
      <w:sz w:val="22"/>
    </w:rPr>
  </w:style>
  <w:style w:type="paragraph" w:styleId="Heading1">
    <w:name w:val="heading 1"/>
    <w:aliases w:val="O1"/>
    <w:basedOn w:val="Normal"/>
    <w:next w:val="Normal"/>
    <w:qFormat/>
    <w:rsid w:val="00231663"/>
    <w:pPr>
      <w:tabs>
        <w:tab w:val="clear" w:pos="1304"/>
      </w:tabs>
      <w:outlineLvl w:val="0"/>
    </w:pPr>
    <w:rPr>
      <w:b/>
    </w:rPr>
  </w:style>
  <w:style w:type="paragraph" w:styleId="Heading2">
    <w:name w:val="heading 2"/>
    <w:aliases w:val="O2"/>
    <w:basedOn w:val="Normal"/>
    <w:next w:val="Normal"/>
    <w:qFormat/>
    <w:rsid w:val="00231663"/>
    <w:pPr>
      <w:tabs>
        <w:tab w:val="clear" w:pos="1304"/>
      </w:tabs>
      <w:outlineLvl w:val="1"/>
    </w:pPr>
    <w:rPr>
      <w:b/>
    </w:rPr>
  </w:style>
  <w:style w:type="paragraph" w:styleId="Heading3">
    <w:name w:val="heading 3"/>
    <w:aliases w:val="O3"/>
    <w:basedOn w:val="Normal"/>
    <w:next w:val="Normal"/>
    <w:qFormat/>
    <w:rsid w:val="00231663"/>
    <w:pPr>
      <w:tabs>
        <w:tab w:val="clear" w:pos="1304"/>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0">
    <w:name w:val="R0"/>
    <w:basedOn w:val="Normal"/>
    <w:rsid w:val="007C0C5F"/>
    <w:pPr>
      <w:tabs>
        <w:tab w:val="clear" w:pos="1304"/>
      </w:tabs>
      <w:ind w:left="1304" w:hanging="1304"/>
      <w:jc w:val="both"/>
    </w:pPr>
    <w:rPr>
      <w:sz w:val="20"/>
    </w:rPr>
  </w:style>
  <w:style w:type="paragraph" w:customStyle="1" w:styleId="R1">
    <w:name w:val="R1"/>
    <w:basedOn w:val="Normal"/>
    <w:rsid w:val="007C0C5F"/>
    <w:pPr>
      <w:tabs>
        <w:tab w:val="clear" w:pos="1304"/>
      </w:tabs>
      <w:ind w:left="1956" w:hanging="652"/>
      <w:jc w:val="both"/>
    </w:pPr>
    <w:rPr>
      <w:sz w:val="20"/>
    </w:rPr>
  </w:style>
  <w:style w:type="paragraph" w:customStyle="1" w:styleId="R2">
    <w:name w:val="R2"/>
    <w:basedOn w:val="Normal"/>
    <w:rsid w:val="007C0C5F"/>
    <w:pPr>
      <w:tabs>
        <w:tab w:val="clear" w:pos="1304"/>
      </w:tabs>
      <w:ind w:left="3169" w:hanging="578"/>
      <w:jc w:val="both"/>
    </w:pPr>
    <w:rPr>
      <w:sz w:val="20"/>
    </w:rPr>
  </w:style>
  <w:style w:type="paragraph" w:customStyle="1" w:styleId="R3">
    <w:name w:val="R3"/>
    <w:basedOn w:val="Normal"/>
    <w:rsid w:val="007C0C5F"/>
    <w:pPr>
      <w:tabs>
        <w:tab w:val="clear" w:pos="1304"/>
      </w:tabs>
      <w:ind w:left="4468" w:hanging="578"/>
      <w:jc w:val="both"/>
    </w:pPr>
    <w:rPr>
      <w:sz w:val="20"/>
    </w:rPr>
  </w:style>
  <w:style w:type="paragraph" w:customStyle="1" w:styleId="S1">
    <w:name w:val="S1"/>
    <w:basedOn w:val="Normal"/>
    <w:rsid w:val="007C0C5F"/>
    <w:pPr>
      <w:tabs>
        <w:tab w:val="clear" w:pos="1304"/>
      </w:tabs>
      <w:ind w:left="1298"/>
      <w:jc w:val="both"/>
    </w:pPr>
    <w:rPr>
      <w:sz w:val="20"/>
    </w:rPr>
  </w:style>
  <w:style w:type="paragraph" w:customStyle="1" w:styleId="S2">
    <w:name w:val="S2"/>
    <w:basedOn w:val="Normal"/>
    <w:rsid w:val="007C0C5F"/>
    <w:pPr>
      <w:tabs>
        <w:tab w:val="clear" w:pos="1304"/>
      </w:tabs>
      <w:ind w:left="2591"/>
      <w:jc w:val="both"/>
    </w:pPr>
    <w:rPr>
      <w:sz w:val="20"/>
    </w:rPr>
  </w:style>
  <w:style w:type="paragraph" w:customStyle="1" w:styleId="S3">
    <w:name w:val="S3"/>
    <w:basedOn w:val="Normal"/>
    <w:rsid w:val="007C0C5F"/>
    <w:pPr>
      <w:tabs>
        <w:tab w:val="clear" w:pos="1304"/>
      </w:tabs>
      <w:ind w:left="3890"/>
      <w:jc w:val="both"/>
    </w:pPr>
    <w:rPr>
      <w:sz w:val="20"/>
    </w:rPr>
  </w:style>
  <w:style w:type="paragraph" w:styleId="TOC1">
    <w:name w:val="toc 1"/>
    <w:basedOn w:val="Normal"/>
    <w:next w:val="Normal"/>
    <w:autoRedefine/>
    <w:semiHidden/>
    <w:rsid w:val="00372035"/>
    <w:pPr>
      <w:tabs>
        <w:tab w:val="clear" w:pos="1304"/>
      </w:tabs>
      <w:spacing w:before="120"/>
      <w:outlineLvl w:val="0"/>
    </w:pPr>
    <w:rPr>
      <w:b/>
    </w:rPr>
  </w:style>
  <w:style w:type="paragraph" w:styleId="TOC2">
    <w:name w:val="toc 2"/>
    <w:basedOn w:val="Normal"/>
    <w:next w:val="Normal"/>
    <w:autoRedefine/>
    <w:semiHidden/>
    <w:rsid w:val="00372035"/>
    <w:pPr>
      <w:tabs>
        <w:tab w:val="clear" w:pos="1304"/>
      </w:tabs>
      <w:spacing w:before="120"/>
      <w:ind w:left="652"/>
      <w:outlineLvl w:val="1"/>
    </w:pPr>
  </w:style>
  <w:style w:type="paragraph" w:styleId="TOC3">
    <w:name w:val="toc 3"/>
    <w:basedOn w:val="Normal"/>
    <w:next w:val="Normal"/>
    <w:autoRedefine/>
    <w:semiHidden/>
    <w:rsid w:val="00372035"/>
    <w:pPr>
      <w:tabs>
        <w:tab w:val="clear" w:pos="1304"/>
      </w:tabs>
      <w:ind w:left="1304"/>
      <w:outlineLvl w:val="2"/>
    </w:pPr>
  </w:style>
  <w:style w:type="paragraph" w:customStyle="1" w:styleId="Tyyli1">
    <w:name w:val="Tyyli1"/>
    <w:basedOn w:val="Heading2"/>
    <w:rsid w:val="00372035"/>
    <w:rPr>
      <w:i/>
      <w:kern w:val="28"/>
    </w:rPr>
  </w:style>
  <w:style w:type="paragraph" w:styleId="Footer">
    <w:name w:val="footer"/>
    <w:basedOn w:val="Normal"/>
    <w:rsid w:val="007C0C5F"/>
    <w:pPr>
      <w:tabs>
        <w:tab w:val="clear" w:pos="1304"/>
        <w:tab w:val="center" w:pos="4819"/>
        <w:tab w:val="right" w:pos="9638"/>
      </w:tabs>
    </w:pPr>
    <w:rPr>
      <w:sz w:val="18"/>
    </w:rPr>
  </w:style>
  <w:style w:type="character" w:styleId="PageNumber">
    <w:name w:val="page number"/>
    <w:basedOn w:val="DefaultParagraphFont"/>
    <w:rsid w:val="007C0C5F"/>
    <w:rPr>
      <w:rFonts w:ascii="Univers" w:hAnsi="Univers"/>
      <w:sz w:val="20"/>
    </w:rPr>
  </w:style>
  <w:style w:type="paragraph" w:styleId="Header">
    <w:name w:val="header"/>
    <w:basedOn w:val="Normal"/>
    <w:rsid w:val="00E4346E"/>
    <w:pPr>
      <w:tabs>
        <w:tab w:val="clear" w:pos="1304"/>
        <w:tab w:val="center" w:pos="4819"/>
        <w:tab w:val="right" w:pos="9638"/>
      </w:tabs>
    </w:pPr>
  </w:style>
  <w:style w:type="paragraph" w:styleId="BalloonText">
    <w:name w:val="Balloon Text"/>
    <w:basedOn w:val="Normal"/>
    <w:semiHidden/>
    <w:rsid w:val="00320ED2"/>
    <w:rPr>
      <w:rFonts w:ascii="Tahoma" w:hAnsi="Tahoma" w:cs="Tahoma"/>
      <w:sz w:val="16"/>
      <w:szCs w:val="16"/>
    </w:rPr>
  </w:style>
  <w:style w:type="character" w:styleId="CommentReference">
    <w:name w:val="annotation reference"/>
    <w:basedOn w:val="DefaultParagraphFont"/>
    <w:rsid w:val="0069173C"/>
    <w:rPr>
      <w:sz w:val="16"/>
      <w:szCs w:val="16"/>
    </w:rPr>
  </w:style>
  <w:style w:type="paragraph" w:styleId="CommentText">
    <w:name w:val="annotation text"/>
    <w:basedOn w:val="Normal"/>
    <w:link w:val="CommentTextChar"/>
    <w:rsid w:val="0069173C"/>
    <w:rPr>
      <w:sz w:val="20"/>
    </w:rPr>
  </w:style>
  <w:style w:type="character" w:customStyle="1" w:styleId="CommentTextChar">
    <w:name w:val="Comment Text Char"/>
    <w:basedOn w:val="DefaultParagraphFont"/>
    <w:link w:val="CommentText"/>
    <w:rsid w:val="0069173C"/>
    <w:rPr>
      <w:rFonts w:ascii="Univers" w:hAnsi="Univers"/>
    </w:rPr>
  </w:style>
  <w:style w:type="paragraph" w:styleId="CommentSubject">
    <w:name w:val="annotation subject"/>
    <w:basedOn w:val="CommentText"/>
    <w:next w:val="CommentText"/>
    <w:link w:val="CommentSubjectChar"/>
    <w:rsid w:val="0069173C"/>
    <w:rPr>
      <w:b/>
      <w:bCs/>
    </w:rPr>
  </w:style>
  <w:style w:type="character" w:customStyle="1" w:styleId="CommentSubjectChar">
    <w:name w:val="Comment Subject Char"/>
    <w:basedOn w:val="CommentTextChar"/>
    <w:link w:val="CommentSubject"/>
    <w:rsid w:val="0069173C"/>
    <w:rPr>
      <w:rFonts w:ascii="Univers" w:hAnsi="Univers"/>
      <w:b/>
      <w:bCs/>
    </w:rPr>
  </w:style>
  <w:style w:type="paragraph" w:styleId="ListParagraph">
    <w:name w:val="List Paragraph"/>
    <w:basedOn w:val="Normal"/>
    <w:uiPriority w:val="34"/>
    <w:qFormat/>
    <w:rsid w:val="00D80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3060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2018-02-21T13:48:00Z</dcterms:created>
  <dcterms:modified xsi:type="dcterms:W3CDTF">2018-02-21T13:48:00Z</dcterms:modified>
</cp:coreProperties>
</file>